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A8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SW6-20</w:t>
      </w:r>
      <w:r>
        <w:rPr>
          <w:rFonts w:hint="eastAsia" w:ascii="Times New Roman" w:hAnsi="Times New Roman" w:cs="Times New Roman"/>
          <w:lang w:val="en-US" w:eastAsia="zh-CN"/>
        </w:rPr>
        <w:t>24</w:t>
      </w:r>
      <w:r>
        <w:rPr>
          <w:rFonts w:hint="default" w:ascii="Times New Roman" w:hAnsi="Times New Roman" w:cs="Times New Roman"/>
        </w:rPr>
        <w:t xml:space="preserve"> V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.0补丁</w:t>
      </w:r>
      <w:r>
        <w:rPr>
          <w:rFonts w:hint="eastAsia" w:ascii="Times New Roman" w:hAnsi="Times New Roman" w:cs="Times New Roman"/>
          <w:lang w:val="en-US" w:eastAsia="zh-CN"/>
        </w:rPr>
        <w:t>三</w:t>
      </w:r>
      <w:r>
        <w:rPr>
          <w:rFonts w:hint="default" w:ascii="Times New Roman" w:hAnsi="Times New Roman" w:cs="Times New Roman"/>
        </w:rPr>
        <w:t>（单机版）和（网络版）解决以下问题：</w:t>
      </w:r>
    </w:p>
    <w:p w14:paraId="267C459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</w:t>
      </w:r>
      <w:r>
        <w:rPr>
          <w:rFonts w:hint="eastAsia" w:ascii="Times New Roman" w:hAnsi="Times New Roman" w:cs="Times New Roman"/>
          <w:lang w:val="en-US" w:eastAsia="zh-CN"/>
        </w:rPr>
        <w:t>GB/T150-2024</w:t>
      </w:r>
      <w:r>
        <w:rPr>
          <w:rFonts w:hint="eastAsia"/>
          <w:lang w:val="en-US" w:eastAsia="zh-CN"/>
        </w:rPr>
        <w:t>标准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eastAsia"/>
          <w:lang w:val="en-US" w:eastAsia="zh-CN"/>
        </w:rPr>
        <w:t>号勘误进行了相关内容的修改。</w:t>
      </w:r>
    </w:p>
    <w:p w14:paraId="1CE2145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非对称双鞍座及多鞍座：当有</w:t>
      </w:r>
      <w:r>
        <w:rPr>
          <w:rFonts w:hint="default" w:ascii="Times New Roman" w:hAnsi="Times New Roman" w:cs="Times New Roman"/>
          <w:lang w:val="en-US" w:eastAsia="zh-CN"/>
        </w:rPr>
        <w:t>2</w:t>
      </w:r>
      <w:r>
        <w:rPr>
          <w:rFonts w:hint="eastAsia"/>
          <w:lang w:val="en-US" w:eastAsia="zh-CN"/>
        </w:rPr>
        <w:t>个压力腔时</w:t>
      </w:r>
      <w:bookmarkStart w:id="0" w:name="_GoBack"/>
      <w:bookmarkEnd w:id="0"/>
      <w:r>
        <w:rPr>
          <w:rFonts w:hint="eastAsia"/>
          <w:lang w:val="en-US" w:eastAsia="zh-CN"/>
        </w:rPr>
        <w:t>，下封头选择</w:t>
      </w:r>
      <w:r>
        <w:rPr>
          <w:rFonts w:hint="default" w:ascii="Times New Roman" w:hAnsi="Times New Roman" w:cs="Times New Roman"/>
          <w:lang w:val="en-US" w:eastAsia="zh-CN"/>
        </w:rPr>
        <w:t>15CrMoR</w:t>
      </w:r>
      <w:r>
        <w:rPr>
          <w:rFonts w:hint="eastAsia"/>
          <w:lang w:val="en-US" w:eastAsia="zh-CN"/>
        </w:rPr>
        <w:t>等材料时默认设计温度为</w:t>
      </w:r>
      <w:r>
        <w:rPr>
          <w:rFonts w:hint="default" w:ascii="Times New Roman" w:hAnsi="Times New Roman" w:cs="Times New Roman"/>
          <w:lang w:val="en-US" w:eastAsia="zh-CN"/>
        </w:rPr>
        <w:t>0℃</w:t>
      </w:r>
      <w:r>
        <w:rPr>
          <w:rFonts w:hint="eastAsia"/>
          <w:lang w:val="en-US" w:eastAsia="zh-CN"/>
        </w:rPr>
        <w:t>，从而提示温度超界。</w:t>
      </w:r>
    </w:p>
    <w:p w14:paraId="24BBB05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立式容器：1）支承式支座计算书中未输出底板材料及其许用应力；2）半圆管夹套计算书中设计温度屈服强度与界面输入</w:t>
      </w:r>
      <w:r>
        <w:rPr>
          <w:rFonts w:hint="eastAsia" w:ascii="Times New Roman" w:hAnsi="Times New Roman" w:cs="Times New Roman"/>
          <w:lang w:val="en-US" w:eastAsia="zh-CN"/>
        </w:rPr>
        <w:t>值</w:t>
      </w:r>
      <w:r>
        <w:rPr>
          <w:rFonts w:hint="default" w:ascii="Times New Roman" w:hAnsi="Times New Roman" w:cs="Times New Roman"/>
          <w:lang w:val="en-US" w:eastAsia="zh-CN"/>
        </w:rPr>
        <w:t>不一致；3）刚性环支座计算书中的校核条件公式有误</w:t>
      </w:r>
      <w:r>
        <w:rPr>
          <w:rFonts w:hint="eastAsia" w:ascii="Times New Roman" w:hAnsi="Times New Roman" w:cs="Times New Roman"/>
          <w:lang w:val="en-US" w:eastAsia="zh-CN"/>
        </w:rPr>
        <w:t>。</w:t>
      </w:r>
    </w:p>
    <w:p w14:paraId="7A8197E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零部件：拉撑管板换热管外压计算时有时会死机</w:t>
      </w:r>
      <w:r>
        <w:rPr>
          <w:rFonts w:hint="eastAsia" w:ascii="Times New Roman" w:hAnsi="Times New Roman" w:cs="Times New Roman"/>
          <w:lang w:val="en-US" w:eastAsia="zh-CN"/>
        </w:rPr>
        <w:t>。</w:t>
      </w:r>
    </w:p>
    <w:p w14:paraId="35404BF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封头：内压锥壳计算时，当锥壳和大、小端筒体输入腐蚀裕量不一致时，连接处锥壳加强段所需厚度计算有误</w:t>
      </w:r>
      <w:r>
        <w:rPr>
          <w:rFonts w:hint="eastAsia" w:ascii="Times New Roman" w:hAnsi="Times New Roman" w:cs="Times New Roman"/>
          <w:lang w:val="en-US" w:eastAsia="zh-CN"/>
        </w:rPr>
        <w:t>。</w:t>
      </w:r>
    </w:p>
    <w:p w14:paraId="50B3325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开孔补强：1）接管材料为Q345E等时外压计算时的计算厚度</w:t>
      </w:r>
      <w:r>
        <w:rPr>
          <w:rFonts w:hint="eastAsia" w:ascii="Times New Roman" w:hAnsi="Times New Roman" w:cs="Times New Roman"/>
          <w:lang w:val="en-US" w:eastAsia="zh-CN"/>
        </w:rPr>
        <w:t>有误</w:t>
      </w:r>
      <w:r>
        <w:rPr>
          <w:rFonts w:hint="default" w:ascii="Times New Roman" w:hAnsi="Times New Roman" w:cs="Times New Roman"/>
          <w:lang w:val="en-US" w:eastAsia="zh-CN"/>
        </w:rPr>
        <w:t>；</w:t>
      </w:r>
      <w:r>
        <w:rPr>
          <w:rFonts w:hint="eastAsia" w:ascii="Times New Roman" w:hAnsi="Times New Roman" w:cs="Times New Roman"/>
          <w:lang w:val="en-US" w:eastAsia="zh-CN"/>
        </w:rPr>
        <w:t>2）</w:t>
      </w:r>
      <w:r>
        <w:rPr>
          <w:rFonts w:hint="default" w:ascii="Times New Roman" w:hAnsi="Times New Roman" w:cs="Times New Roman"/>
          <w:lang w:val="en-US" w:eastAsia="zh-CN"/>
        </w:rPr>
        <w:t>接管材料为10(GB8163)、20(GB8163)、Q345D(GB8163)等时未按GB/T150.2中关于GB/T8163的使用规定进行设计压力、壁厚的限制。</w:t>
      </w:r>
    </w:p>
    <w:p w14:paraId="2DBB958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高压设备：金属环垫型号R72的节径P值有误。</w:t>
      </w:r>
    </w:p>
    <w:p w14:paraId="0C54573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标准法兰数据库中按勘误表进行相关数据的修改。</w:t>
      </w:r>
    </w:p>
    <w:p w14:paraId="10D9AFB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塔器：1）地脚螺栓最大拉应力计算进行了修改；2）带中间支撑塔器的计算时，当筒体上的最大组合压应力或拉应力不在筒体底部截面，增加了该截面的校核结果输出；3）受外压情况下，变径段的轴向力的计算进行修正；4）增加法兰高度的数据检查；5）修正填料分布段数的输入数据检查；6）当塔釜液柱静压力大于等于下封头设计压力的5%时，将塔釜液柱静压力计入下封头的设计压力中。</w:t>
      </w:r>
    </w:p>
    <w:p w14:paraId="2DA627F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球罐：当地震设防烈度选择其他且已输入地震影响系数最大值时，计算书结果显示地震影响系数、水平地震力等为0。</w:t>
      </w:r>
    </w:p>
    <w:p w14:paraId="5FD0E892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U型管换热器：界面无法最小化。</w:t>
      </w:r>
    </w:p>
    <w:p w14:paraId="7635E0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lang w:val="en-US" w:eastAsia="zh-CN"/>
        </w:rPr>
      </w:pPr>
    </w:p>
    <w:p w14:paraId="1DD62F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09795B"/>
    <w:multiLevelType w:val="singleLevel"/>
    <w:tmpl w:val="4309795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2832AC"/>
    <w:rsid w:val="0B3C54B9"/>
    <w:rsid w:val="30D27F61"/>
    <w:rsid w:val="5E2832AC"/>
    <w:rsid w:val="6DCF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2026-06-01T01:46:00Z</dcterms:created>
  <dc:creator>常平江</dc:creator>
  <cp:lastModifiedBy>常平江</cp:lastModifiedBy>
  <dcterms:modified xsi:type="dcterms:W3CDTF">2026-06-08T02:40:02Z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9B3698344B624995A602C5F6BFA747EF_11</vt:lpwstr>
  </property>
</Properties>
</file>